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תקציר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העדות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בסלוניקי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במרס</w:t>
      </w:r>
      <w:r w:rsidDel="00000000" w:rsidR="00000000" w:rsidRPr="00000000">
        <w:rPr>
          <w:rtl w:val="1"/>
        </w:rPr>
        <w:t xml:space="preserve"> 1943, </w:t>
      </w:r>
      <w:r w:rsidDel="00000000" w:rsidR="00000000" w:rsidRPr="00000000">
        <w:rPr>
          <w:rtl w:val="1"/>
        </w:rPr>
        <w:t xml:space="preserve">בהיותו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מסלוניקי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לאושוויץ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לאושוויץ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- 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לבאביץ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גרמני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ועובדיה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מבולבל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הגרמני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להתעצבן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מסריח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הסוסים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וכשראה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באושוויץ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מסלוניקי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למאוטהוזן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שהאמריקאים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1945.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רפלקציה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זיכרון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מתחדש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דעתנו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ומנציח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ומנציחה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התמודדנו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הצפייה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שהשתתפנו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jF2iED3mQp4P+bGuxqzbSYVh5g==">AMUW2mWc5NXAlJ/AaCEbyank4dlsDqpYnw3iVRpq2MCeMCoystCgIBWFlMF5BY7NKhpR32M/kQ6HuF6nbucu/v8wZoZBpPlUB5HIkYGJnpzc6Ap3CTnUisg=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2023-03-27T16:45:00Z</dcterms:created>
</cp:coreProperties>
</file>